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94A" w:rsidRPr="00AA094A" w:rsidRDefault="00AA094A" w:rsidP="00CC61AA">
      <w:pPr>
        <w:tabs>
          <w:tab w:val="left" w:pos="3881"/>
        </w:tabs>
        <w:spacing w:line="360" w:lineRule="auto"/>
        <w:jc w:val="both"/>
        <w:rPr>
          <w:rFonts w:eastAsia="Calibri" w:cs="Times New Roman"/>
          <w:b/>
          <w:smallCaps/>
          <w:sz w:val="28"/>
          <w:szCs w:val="28"/>
        </w:rPr>
      </w:pPr>
      <w:r w:rsidRPr="00AA094A">
        <w:rPr>
          <w:rFonts w:eastAsia="Calibri" w:cs="Times New Roman"/>
        </w:rPr>
        <w:tab/>
      </w:r>
      <w:r w:rsidR="006E6FD7">
        <w:rPr>
          <w:rFonts w:ascii="Verdana" w:hAnsi="Verdana"/>
          <w:b/>
          <w:bCs/>
          <w:color w:val="6E6A6B"/>
          <w:shd w:val="clear" w:color="auto" w:fill="F8F8F8"/>
        </w:rPr>
        <w:t>DESPACHO</w:t>
      </w:r>
      <w:r w:rsidR="006E6FD7">
        <w:rPr>
          <w:rFonts w:ascii="Verdana" w:hAnsi="Verdana"/>
          <w:b/>
          <w:bCs/>
          <w:color w:val="6E6A6B"/>
          <w:shd w:val="clear" w:color="auto" w:fill="F8F8F8"/>
        </w:rPr>
        <w:t xml:space="preserve"> n</w:t>
      </w:r>
      <w:bookmarkStart w:id="0" w:name="_GoBack"/>
      <w:bookmarkEnd w:id="0"/>
      <w:r w:rsidR="006E6FD7">
        <w:rPr>
          <w:rFonts w:ascii="Verdana" w:hAnsi="Verdana"/>
          <w:b/>
          <w:bCs/>
          <w:color w:val="6E6A6B"/>
          <w:shd w:val="clear" w:color="auto" w:fill="F8F8F8"/>
        </w:rPr>
        <w:t>º 3/24</w:t>
      </w:r>
    </w:p>
    <w:p w:rsidR="00AA094A" w:rsidRDefault="00CC61AA" w:rsidP="00CC61AA">
      <w:pPr>
        <w:spacing w:line="36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A </w:t>
      </w:r>
      <w:r w:rsidRPr="00CC61AA">
        <w:rPr>
          <w:rFonts w:eastAsia="Calibri" w:cs="Times New Roman"/>
        </w:rPr>
        <w:t>Circular nº 3/12 de 2012-02-13</w:t>
      </w:r>
      <w:r>
        <w:rPr>
          <w:rFonts w:eastAsia="Calibri" w:cs="Times New Roman"/>
        </w:rPr>
        <w:t>, relativa às orientações de gestão processual no contexto dos inquéritos por f</w:t>
      </w:r>
      <w:r w:rsidRPr="00CC61AA">
        <w:rPr>
          <w:rFonts w:eastAsia="Calibri" w:cs="Times New Roman"/>
        </w:rPr>
        <w:t>urto</w:t>
      </w:r>
      <w:r>
        <w:rPr>
          <w:rFonts w:eastAsia="Calibri" w:cs="Times New Roman"/>
        </w:rPr>
        <w:t xml:space="preserve"> e recetação</w:t>
      </w:r>
      <w:r w:rsidRPr="00CC61AA">
        <w:rPr>
          <w:rFonts w:eastAsia="Calibri" w:cs="Times New Roman"/>
        </w:rPr>
        <w:t xml:space="preserve"> de cobre e de outros metais não preciosos </w:t>
      </w:r>
      <w:r>
        <w:rPr>
          <w:rFonts w:eastAsia="Calibri" w:cs="Times New Roman"/>
        </w:rPr>
        <w:t>encontrou justificação na circunstância de, e</w:t>
      </w:r>
      <w:r w:rsidRPr="00CC61AA">
        <w:rPr>
          <w:rFonts w:eastAsia="Calibri" w:cs="Times New Roman"/>
        </w:rPr>
        <w:t xml:space="preserve">m 2011, </w:t>
      </w:r>
      <w:r>
        <w:rPr>
          <w:rFonts w:eastAsia="Calibri" w:cs="Times New Roman"/>
        </w:rPr>
        <w:t>se ter verificado no contexto nacional e internacional</w:t>
      </w:r>
      <w:r w:rsidRPr="00CC61AA">
        <w:rPr>
          <w:rFonts w:eastAsia="Calibri" w:cs="Times New Roman"/>
        </w:rPr>
        <w:t xml:space="preserve"> um </w:t>
      </w:r>
      <w:r>
        <w:rPr>
          <w:rFonts w:eastAsia="Calibri" w:cs="Times New Roman"/>
        </w:rPr>
        <w:t>elevado e crescente número de</w:t>
      </w:r>
      <w:r w:rsidRPr="00CC61AA">
        <w:rPr>
          <w:rFonts w:eastAsia="Calibri" w:cs="Times New Roman"/>
        </w:rPr>
        <w:t xml:space="preserve"> ocorrências relacionadas com</w:t>
      </w:r>
      <w:r w:rsidR="0059384C">
        <w:rPr>
          <w:rFonts w:eastAsia="Calibri" w:cs="Times New Roman"/>
        </w:rPr>
        <w:t xml:space="preserve"> este fenómeno</w:t>
      </w:r>
      <w:r w:rsidR="003C1269">
        <w:rPr>
          <w:rFonts w:eastAsia="Calibri" w:cs="Times New Roman"/>
        </w:rPr>
        <w:t xml:space="preserve"> criminal</w:t>
      </w:r>
      <w:r w:rsidRPr="00CC61AA">
        <w:rPr>
          <w:rFonts w:eastAsia="Calibri" w:cs="Times New Roman"/>
        </w:rPr>
        <w:t>, nomeadamente em infraestruturas das telecomunicações, o que provocou avultadíssimos prejuízos não só para as entidades públicas e privadas que operam no âmbito das comunicações telefónicas, da circulação ferroviária e da distribuição energética, mas também, e sobretudo, para os cidadãos que ficaram privados da prestação de tais serviços essenciais durante longos períodos de tempo e ainda para agricultores com instalações e máquinas destruídas.</w:t>
      </w:r>
    </w:p>
    <w:p w:rsidR="00AA094A" w:rsidRDefault="00CC61AA" w:rsidP="00CC61AA">
      <w:pPr>
        <w:spacing w:line="36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Verifica-se, todavia, neste momento, que a</w:t>
      </w:r>
      <w:r w:rsidR="0059384C">
        <w:rPr>
          <w:rFonts w:eastAsia="Calibri" w:cs="Times New Roman"/>
        </w:rPr>
        <w:t xml:space="preserve"> necessidade</w:t>
      </w:r>
      <w:r>
        <w:rPr>
          <w:rFonts w:eastAsia="Calibri" w:cs="Times New Roman"/>
        </w:rPr>
        <w:t xml:space="preserve"> </w:t>
      </w:r>
      <w:r w:rsidR="0059384C">
        <w:rPr>
          <w:rFonts w:eastAsia="Calibri" w:cs="Times New Roman"/>
        </w:rPr>
        <w:t>de</w:t>
      </w:r>
      <w:r>
        <w:rPr>
          <w:rFonts w:eastAsia="Calibri" w:cs="Times New Roman"/>
        </w:rPr>
        <w:t xml:space="preserve"> assegurar um </w:t>
      </w:r>
      <w:r w:rsidRPr="00CC61AA">
        <w:rPr>
          <w:rFonts w:eastAsia="Calibri" w:cs="Times New Roman"/>
        </w:rPr>
        <w:t>tratamento articulado e coordenado entre as forças de segurança, as autoridades judiciárias, a com</w:t>
      </w:r>
      <w:r>
        <w:rPr>
          <w:rFonts w:eastAsia="Calibri" w:cs="Times New Roman"/>
        </w:rPr>
        <w:t>unidade e as entidades afetadas que justificaram a criação deste instrumento hierárquico estarão</w:t>
      </w:r>
      <w:r w:rsidR="0059384C">
        <w:rPr>
          <w:rFonts w:eastAsia="Calibri" w:cs="Times New Roman"/>
        </w:rPr>
        <w:t>, no essencial,</w:t>
      </w:r>
      <w:r>
        <w:rPr>
          <w:rFonts w:eastAsia="Calibri" w:cs="Times New Roman"/>
        </w:rPr>
        <w:t xml:space="preserve"> ultrapassadas. Tal conclusão resulta da acentuada redução da volumetria processual </w:t>
      </w:r>
      <w:r w:rsidR="00AD4AD9">
        <w:rPr>
          <w:rFonts w:eastAsia="Calibri" w:cs="Times New Roman"/>
        </w:rPr>
        <w:t>dos inquéritos pelos referidos crimes em todo o território nacional</w:t>
      </w:r>
      <w:r>
        <w:rPr>
          <w:rFonts w:eastAsia="Calibri" w:cs="Times New Roman"/>
        </w:rPr>
        <w:t xml:space="preserve">, </w:t>
      </w:r>
      <w:r w:rsidR="00AD4AD9">
        <w:rPr>
          <w:rFonts w:eastAsia="Calibri" w:cs="Times New Roman"/>
        </w:rPr>
        <w:t xml:space="preserve">bem como da readaptação dos procedimentos e recursos organizativos implementados na sequência da evolução dos fenómenos criminais de furto e recetação de cobre e outros metais não preciosos. A conjuntura atual nesta matéria permitiu, assim, </w:t>
      </w:r>
      <w:r w:rsidR="0059384C">
        <w:rPr>
          <w:rFonts w:eastAsia="Calibri" w:cs="Times New Roman"/>
        </w:rPr>
        <w:t>obter</w:t>
      </w:r>
      <w:r w:rsidR="00AD4AD9">
        <w:rPr>
          <w:rFonts w:eastAsia="Calibri" w:cs="Times New Roman"/>
        </w:rPr>
        <w:t xml:space="preserve"> uma posição uniforme das estruturas hierárquicas regionais no sentido da desnecessidade de manutenção dos </w:t>
      </w:r>
      <w:r w:rsidR="00AD4AD9" w:rsidRPr="00AD4AD9">
        <w:rPr>
          <w:rFonts w:eastAsia="Calibri" w:cs="Times New Roman"/>
        </w:rPr>
        <w:t>procedimentos e</w:t>
      </w:r>
      <w:r w:rsidR="00AD4AD9">
        <w:rPr>
          <w:rFonts w:eastAsia="Calibri" w:cs="Times New Roman"/>
        </w:rPr>
        <w:t xml:space="preserve">stabelecidos na Circular 3/2012. </w:t>
      </w:r>
    </w:p>
    <w:p w:rsidR="00AA094A" w:rsidRDefault="00AD4AD9" w:rsidP="00CC61AA">
      <w:pPr>
        <w:spacing w:line="36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Nesta conformidade, pelo exposto, determina-se com efeitos imediatos: </w:t>
      </w:r>
    </w:p>
    <w:p w:rsidR="00AD4AD9" w:rsidRPr="00AD4AD9" w:rsidRDefault="007641D4" w:rsidP="00AD4AD9">
      <w:pPr>
        <w:pStyle w:val="PargrafodaLista"/>
        <w:numPr>
          <w:ilvl w:val="0"/>
          <w:numId w:val="1"/>
        </w:numPr>
        <w:spacing w:line="360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A</w:t>
      </w:r>
      <w:r w:rsidR="00AD4AD9" w:rsidRPr="00AD4AD9">
        <w:rPr>
          <w:rFonts w:eastAsia="Calibri" w:cs="Times New Roman"/>
          <w:b/>
        </w:rPr>
        <w:t xml:space="preserve"> revogação da Circular nº 3/12 de 2012-02-13, relativa ao furto de cobre e de outros metais não preciosos. </w:t>
      </w:r>
    </w:p>
    <w:p w:rsidR="00AD4AD9" w:rsidRPr="00AA094A" w:rsidRDefault="00AD4AD9" w:rsidP="00CC61AA">
      <w:pPr>
        <w:spacing w:line="360" w:lineRule="auto"/>
        <w:jc w:val="both"/>
        <w:rPr>
          <w:rFonts w:eastAsia="Calibri" w:cs="Times New Roman"/>
        </w:rPr>
      </w:pPr>
    </w:p>
    <w:p w:rsidR="00AA094A" w:rsidRPr="00AA094A" w:rsidRDefault="00AA094A" w:rsidP="00CC61AA">
      <w:pPr>
        <w:spacing w:line="360" w:lineRule="auto"/>
        <w:jc w:val="center"/>
        <w:rPr>
          <w:rFonts w:eastAsia="Calibri" w:cs="Times New Roman"/>
          <w:sz w:val="16"/>
          <w:szCs w:val="16"/>
        </w:rPr>
      </w:pPr>
    </w:p>
    <w:p w:rsidR="0059384C" w:rsidRPr="0059384C" w:rsidRDefault="0059384C" w:rsidP="0059384C">
      <w:pPr>
        <w:spacing w:line="360" w:lineRule="auto"/>
        <w:jc w:val="both"/>
      </w:pPr>
      <w:r w:rsidRPr="0059384C">
        <w:lastRenderedPageBreak/>
        <w:t>Publique-se no SIMP e no Portal do Ministério Público.</w:t>
      </w:r>
    </w:p>
    <w:p w:rsidR="00AD4AD9" w:rsidRPr="00AD4AD9" w:rsidRDefault="00AD4AD9" w:rsidP="00AD4AD9">
      <w:pPr>
        <w:spacing w:line="360" w:lineRule="auto"/>
        <w:jc w:val="both"/>
        <w:rPr>
          <w:rFonts w:eastAsia="Times New Roman" w:cs="Open Sans"/>
        </w:rPr>
      </w:pPr>
      <w:r w:rsidRPr="00AD4AD9">
        <w:rPr>
          <w:rFonts w:eastAsia="Times New Roman" w:cs="Open Sans"/>
        </w:rPr>
        <w:t xml:space="preserve">Comunique-se o presente despacho: </w:t>
      </w:r>
    </w:p>
    <w:p w:rsidR="0059384C" w:rsidRPr="0059384C" w:rsidRDefault="007641D4" w:rsidP="009F5CDC">
      <w:pPr>
        <w:spacing w:line="36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- </w:t>
      </w:r>
      <w:r w:rsidR="0059384C">
        <w:rPr>
          <w:rFonts w:eastAsia="Calibri" w:cs="Times New Roman"/>
        </w:rPr>
        <w:t>A</w:t>
      </w:r>
      <w:r w:rsidR="009F5CDC" w:rsidRPr="0059384C">
        <w:rPr>
          <w:rFonts w:eastAsia="Calibri" w:cs="Times New Roman"/>
        </w:rPr>
        <w:t xml:space="preserve">os Senhores Procuradores-Gerais </w:t>
      </w:r>
      <w:r w:rsidR="0059384C" w:rsidRPr="0059384C">
        <w:rPr>
          <w:rFonts w:eastAsia="Calibri" w:cs="Times New Roman"/>
        </w:rPr>
        <w:t>Regionais</w:t>
      </w:r>
    </w:p>
    <w:p w:rsidR="009F5CDC" w:rsidRPr="0059384C" w:rsidRDefault="007641D4" w:rsidP="009F5CDC">
      <w:pPr>
        <w:spacing w:line="36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- </w:t>
      </w:r>
      <w:r w:rsidR="0059384C" w:rsidRPr="0059384C">
        <w:rPr>
          <w:rFonts w:eastAsia="Calibri" w:cs="Times New Roman"/>
        </w:rPr>
        <w:t>Ao Senhor Diretor</w:t>
      </w:r>
      <w:r w:rsidR="009F5CDC" w:rsidRPr="0059384C">
        <w:rPr>
          <w:rFonts w:eastAsia="Calibri" w:cs="Times New Roman"/>
        </w:rPr>
        <w:t xml:space="preserve"> do DCIAP e aos Senhores </w:t>
      </w:r>
      <w:r w:rsidR="0059384C" w:rsidRPr="0059384C">
        <w:rPr>
          <w:rFonts w:eastAsia="Calibri" w:cs="Times New Roman"/>
        </w:rPr>
        <w:t>Diretores</w:t>
      </w:r>
      <w:r w:rsidR="009F5CDC" w:rsidRPr="0059384C">
        <w:rPr>
          <w:rFonts w:eastAsia="Calibri" w:cs="Times New Roman"/>
        </w:rPr>
        <w:t xml:space="preserve"> </w:t>
      </w:r>
      <w:proofErr w:type="gramStart"/>
      <w:r w:rsidR="009F5CDC" w:rsidRPr="0059384C">
        <w:rPr>
          <w:rFonts w:eastAsia="Calibri" w:cs="Times New Roman"/>
        </w:rPr>
        <w:t>dos DIAP</w:t>
      </w:r>
      <w:proofErr w:type="gramEnd"/>
      <w:r w:rsidR="009F5CDC" w:rsidRPr="0059384C">
        <w:rPr>
          <w:rFonts w:eastAsia="Calibri" w:cs="Times New Roman"/>
        </w:rPr>
        <w:t>.</w:t>
      </w:r>
    </w:p>
    <w:p w:rsidR="00AD4AD9" w:rsidRPr="00AA094A" w:rsidRDefault="009F5CDC" w:rsidP="009F5CDC">
      <w:pPr>
        <w:spacing w:line="360" w:lineRule="auto"/>
        <w:rPr>
          <w:rFonts w:eastAsia="Calibri" w:cs="Times New Roman"/>
        </w:rPr>
      </w:pPr>
      <w:r w:rsidRPr="0059384C">
        <w:rPr>
          <w:rFonts w:eastAsia="Calibri" w:cs="Times New Roman"/>
        </w:rPr>
        <w:t xml:space="preserve">Oficie-se, para conhecimento, ao Senhor Secretário-Geral do Sistema de Segurança Interna, aos Comandos e </w:t>
      </w:r>
      <w:r w:rsidR="0059384C" w:rsidRPr="0059384C">
        <w:rPr>
          <w:rFonts w:eastAsia="Calibri" w:cs="Times New Roman"/>
        </w:rPr>
        <w:t>Direção</w:t>
      </w:r>
      <w:r w:rsidRPr="0059384C">
        <w:rPr>
          <w:rFonts w:eastAsia="Calibri" w:cs="Times New Roman"/>
        </w:rPr>
        <w:t xml:space="preserve"> nacionais </w:t>
      </w:r>
      <w:r w:rsidR="0059384C" w:rsidRPr="0059384C">
        <w:rPr>
          <w:rFonts w:eastAsia="Calibri" w:cs="Times New Roman"/>
        </w:rPr>
        <w:t>dos Órgãos de Polícia Criminal.</w:t>
      </w:r>
    </w:p>
    <w:p w:rsidR="00AA094A" w:rsidRDefault="00AA094A" w:rsidP="00CC61AA">
      <w:pPr>
        <w:spacing w:line="360" w:lineRule="auto"/>
        <w:jc w:val="center"/>
        <w:rPr>
          <w:rFonts w:eastAsia="Calibri" w:cs="Times New Roman"/>
          <w:sz w:val="18"/>
        </w:rPr>
      </w:pPr>
    </w:p>
    <w:p w:rsidR="00AD4AD9" w:rsidRPr="00AD4AD9" w:rsidRDefault="00AD4AD9" w:rsidP="00AD4AD9">
      <w:pPr>
        <w:tabs>
          <w:tab w:val="left" w:pos="3888"/>
        </w:tabs>
        <w:ind w:firstLine="708"/>
        <w:rPr>
          <w:rFonts w:eastAsia="Times New Roman" w:cs="Open Sans"/>
        </w:rPr>
      </w:pPr>
      <w:r w:rsidRPr="00AD4AD9">
        <w:rPr>
          <w:rFonts w:eastAsia="Times New Roman" w:cs="Open Sans"/>
        </w:rPr>
        <w:t xml:space="preserve">Lisboa, </w:t>
      </w:r>
    </w:p>
    <w:p w:rsidR="00AD4AD9" w:rsidRPr="00AD4AD9" w:rsidRDefault="00AD4AD9" w:rsidP="00AD4AD9">
      <w:pPr>
        <w:tabs>
          <w:tab w:val="left" w:pos="3888"/>
        </w:tabs>
        <w:ind w:firstLine="708"/>
        <w:rPr>
          <w:rFonts w:eastAsia="Times New Roman" w:cs="Open Sans"/>
        </w:rPr>
      </w:pPr>
      <w:r w:rsidRPr="00AD4AD9">
        <w:rPr>
          <w:rFonts w:eastAsia="Times New Roman" w:cs="Open Sans"/>
        </w:rPr>
        <w:tab/>
      </w:r>
    </w:p>
    <w:p w:rsidR="00AD4AD9" w:rsidRPr="00AD4AD9" w:rsidRDefault="008F669D" w:rsidP="008F669D">
      <w:pPr>
        <w:tabs>
          <w:tab w:val="left" w:pos="2722"/>
          <w:tab w:val="left" w:pos="3888"/>
          <w:tab w:val="center" w:pos="5032"/>
        </w:tabs>
        <w:ind w:firstLine="708"/>
        <w:rPr>
          <w:rFonts w:eastAsia="Times New Roman" w:cs="Open Sans"/>
        </w:rPr>
      </w:pPr>
      <w:r>
        <w:rPr>
          <w:rFonts w:eastAsia="Times New Roman" w:cs="Open Sans"/>
        </w:rPr>
        <w:tab/>
        <w:t>O Procurador-Geral</w:t>
      </w:r>
      <w:r w:rsidR="00AD4AD9" w:rsidRPr="00AD4AD9">
        <w:rPr>
          <w:rFonts w:eastAsia="Times New Roman" w:cs="Open Sans"/>
        </w:rPr>
        <w:t xml:space="preserve"> da República</w:t>
      </w:r>
    </w:p>
    <w:p w:rsidR="00AD4AD9" w:rsidRPr="00AD4AD9" w:rsidRDefault="00AD4AD9" w:rsidP="008F669D">
      <w:pPr>
        <w:tabs>
          <w:tab w:val="left" w:pos="3888"/>
        </w:tabs>
        <w:ind w:firstLine="708"/>
        <w:jc w:val="center"/>
        <w:rPr>
          <w:rFonts w:eastAsia="Times New Roman" w:cs="Open Sans"/>
        </w:rPr>
      </w:pPr>
    </w:p>
    <w:p w:rsidR="00AD4AD9" w:rsidRPr="00AD4AD9" w:rsidRDefault="00AD4AD9" w:rsidP="008F669D">
      <w:pPr>
        <w:tabs>
          <w:tab w:val="left" w:pos="3888"/>
        </w:tabs>
        <w:ind w:firstLine="708"/>
        <w:jc w:val="center"/>
        <w:rPr>
          <w:rFonts w:eastAsia="Times New Roman" w:cs="Open Sans"/>
        </w:rPr>
      </w:pPr>
    </w:p>
    <w:p w:rsidR="00AD4AD9" w:rsidRPr="00AD4AD9" w:rsidRDefault="008F669D" w:rsidP="008F669D">
      <w:pPr>
        <w:tabs>
          <w:tab w:val="left" w:pos="3579"/>
          <w:tab w:val="left" w:pos="3762"/>
          <w:tab w:val="left" w:pos="3888"/>
          <w:tab w:val="center" w:pos="5032"/>
        </w:tabs>
        <w:ind w:firstLine="708"/>
        <w:rPr>
          <w:rFonts w:eastAsia="Times New Roman" w:cs="Open Sans"/>
          <w:i/>
          <w:iCs/>
        </w:rPr>
      </w:pPr>
      <w:r>
        <w:rPr>
          <w:rFonts w:eastAsia="Times New Roman" w:cs="Open Sans"/>
          <w:i/>
          <w:iCs/>
        </w:rPr>
        <w:tab/>
        <w:t>Amadeu Guerra</w:t>
      </w:r>
    </w:p>
    <w:p w:rsidR="00AD4AD9" w:rsidRPr="00AD4AD9" w:rsidRDefault="00AD4AD9" w:rsidP="00AD4AD9">
      <w:pPr>
        <w:spacing w:after="120" w:line="240" w:lineRule="auto"/>
        <w:jc w:val="both"/>
        <w:rPr>
          <w:rFonts w:eastAsia="Times New Roman" w:cs="Open Sans"/>
        </w:rPr>
      </w:pPr>
    </w:p>
    <w:p w:rsidR="00AA094A" w:rsidRPr="00AA094A" w:rsidRDefault="00AA094A" w:rsidP="00AD4AD9">
      <w:pPr>
        <w:tabs>
          <w:tab w:val="left" w:pos="3894"/>
        </w:tabs>
        <w:spacing w:line="360" w:lineRule="auto"/>
        <w:rPr>
          <w:rFonts w:eastAsia="Calibri" w:cs="Times New Roman"/>
          <w:sz w:val="18"/>
        </w:rPr>
      </w:pPr>
    </w:p>
    <w:p w:rsidR="00AA094A" w:rsidRPr="00AA094A" w:rsidRDefault="00AA094A" w:rsidP="00CC61AA">
      <w:pPr>
        <w:spacing w:line="360" w:lineRule="auto"/>
        <w:jc w:val="center"/>
        <w:rPr>
          <w:rFonts w:eastAsia="Calibri" w:cs="Times New Roman"/>
          <w:sz w:val="18"/>
        </w:rPr>
      </w:pPr>
    </w:p>
    <w:p w:rsidR="00AA094A" w:rsidRPr="00AA094A" w:rsidRDefault="00AA094A" w:rsidP="00CC61AA">
      <w:pPr>
        <w:spacing w:line="360" w:lineRule="auto"/>
        <w:jc w:val="center"/>
        <w:rPr>
          <w:rFonts w:eastAsia="Calibri" w:cs="Times New Roman"/>
          <w:sz w:val="18"/>
        </w:rPr>
      </w:pPr>
    </w:p>
    <w:p w:rsidR="00AA094A" w:rsidRPr="00AA094A" w:rsidRDefault="00AA094A" w:rsidP="00CC61AA">
      <w:pPr>
        <w:spacing w:line="360" w:lineRule="auto"/>
        <w:jc w:val="center"/>
        <w:rPr>
          <w:rFonts w:eastAsia="Calibri" w:cs="Times New Roman"/>
          <w:sz w:val="18"/>
        </w:rPr>
      </w:pPr>
    </w:p>
    <w:p w:rsidR="00AA094A" w:rsidRPr="00AA094A" w:rsidRDefault="00AA094A" w:rsidP="00CC61AA">
      <w:pPr>
        <w:spacing w:line="360" w:lineRule="auto"/>
        <w:rPr>
          <w:rFonts w:eastAsia="Calibri" w:cs="Times New Roman"/>
          <w:sz w:val="18"/>
        </w:rPr>
      </w:pPr>
    </w:p>
    <w:p w:rsidR="00AA094A" w:rsidRPr="00AA094A" w:rsidRDefault="00AA094A" w:rsidP="00CC61AA">
      <w:pPr>
        <w:spacing w:line="360" w:lineRule="auto"/>
      </w:pPr>
    </w:p>
    <w:p w:rsidR="00AA094A" w:rsidRPr="00AA094A" w:rsidRDefault="00AA094A" w:rsidP="00CC61AA">
      <w:pPr>
        <w:spacing w:line="360" w:lineRule="auto"/>
      </w:pPr>
    </w:p>
    <w:p w:rsidR="007B451A" w:rsidRDefault="007B451A" w:rsidP="00CC61AA">
      <w:pPr>
        <w:spacing w:line="360" w:lineRule="auto"/>
      </w:pPr>
    </w:p>
    <w:sectPr w:rsidR="007B451A" w:rsidSect="00AA58F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552" w:right="850" w:bottom="1276" w:left="1701" w:header="113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519" w:rsidRDefault="00F53519">
      <w:pPr>
        <w:spacing w:after="0" w:line="240" w:lineRule="auto"/>
      </w:pPr>
      <w:r>
        <w:separator/>
      </w:r>
    </w:p>
  </w:endnote>
  <w:endnote w:type="continuationSeparator" w:id="0">
    <w:p w:rsidR="00F53519" w:rsidRDefault="00F5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E2C" w:rsidRPr="00CA03FA" w:rsidRDefault="003C1269" w:rsidP="000C7E2C">
    <w:pPr>
      <w:pStyle w:val="Rodap"/>
      <w:jc w:val="right"/>
      <w:rPr>
        <w:sz w:val="18"/>
        <w:szCs w:val="14"/>
      </w:rPr>
    </w:pPr>
    <w:r w:rsidRPr="00CA03FA">
      <w:rPr>
        <w:sz w:val="18"/>
        <w:szCs w:val="14"/>
      </w:rPr>
      <w:fldChar w:fldCharType="begin"/>
    </w:r>
    <w:r w:rsidRPr="00CA03FA">
      <w:rPr>
        <w:sz w:val="18"/>
        <w:szCs w:val="14"/>
      </w:rPr>
      <w:instrText>PAGE   \* MERGEFORMAT</w:instrText>
    </w:r>
    <w:r w:rsidRPr="00CA03FA">
      <w:rPr>
        <w:sz w:val="18"/>
        <w:szCs w:val="14"/>
      </w:rPr>
      <w:fldChar w:fldCharType="separate"/>
    </w:r>
    <w:r w:rsidR="006E6FD7">
      <w:rPr>
        <w:noProof/>
        <w:sz w:val="18"/>
        <w:szCs w:val="14"/>
      </w:rPr>
      <w:t>2</w:t>
    </w:r>
    <w:r w:rsidRPr="00CA03FA">
      <w:rPr>
        <w:sz w:val="18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E2C" w:rsidRDefault="00F53519">
    <w:pPr>
      <w:tabs>
        <w:tab w:val="left" w:pos="284"/>
        <w:tab w:val="left" w:pos="1985"/>
        <w:tab w:val="left" w:pos="4253"/>
        <w:tab w:val="left" w:pos="6237"/>
      </w:tabs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519" w:rsidRDefault="00F53519">
      <w:pPr>
        <w:spacing w:after="0" w:line="240" w:lineRule="auto"/>
      </w:pPr>
      <w:r>
        <w:separator/>
      </w:r>
    </w:p>
  </w:footnote>
  <w:footnote w:type="continuationSeparator" w:id="0">
    <w:p w:rsidR="00F53519" w:rsidRDefault="00F53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7FF" w:rsidRDefault="003C1269" w:rsidP="00B877FF">
    <w:pPr>
      <w:ind w:left="-336" w:right="-1134"/>
      <w:rPr>
        <w:noProof/>
      </w:rPr>
    </w:pPr>
    <w:r>
      <w:rPr>
        <w:noProof/>
        <w:lang w:eastAsia="pt-PT"/>
      </w:rPr>
      <w:drawing>
        <wp:inline distT="0" distB="0" distL="0" distR="0" wp14:anchorId="705F6BA3" wp14:editId="17B14214">
          <wp:extent cx="2647950" cy="1111250"/>
          <wp:effectExtent l="0" t="0" r="0" b="0"/>
          <wp:docPr id="7" name="Imagem 7" descr="PGR_LOGO PRINCIPAL_ EXTENSÃO VERTICAL_C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GR_LOGO PRINCIPAL_ EXTENSÃO VERTICAL_C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E2C" w:rsidRDefault="00F53519" w:rsidP="00B847F9">
    <w:pPr>
      <w:ind w:left="-1701" w:right="-1134"/>
      <w:rPr>
        <w:position w:val="36"/>
        <w:sz w:val="12"/>
      </w:rPr>
    </w:pPr>
  </w:p>
  <w:p w:rsidR="00696425" w:rsidRDefault="003C1269" w:rsidP="00B847F9">
    <w:pPr>
      <w:ind w:left="-336" w:right="-1134"/>
      <w:rPr>
        <w:noProof/>
      </w:rPr>
    </w:pPr>
    <w:r>
      <w:rPr>
        <w:noProof/>
        <w:lang w:eastAsia="pt-PT"/>
      </w:rPr>
      <w:drawing>
        <wp:inline distT="0" distB="0" distL="0" distR="0" wp14:anchorId="0640C878" wp14:editId="7E5756D7">
          <wp:extent cx="2647950" cy="1111250"/>
          <wp:effectExtent l="0" t="0" r="0" b="0"/>
          <wp:docPr id="8" name="Imagem 8" descr="PGR_LOGO PRINCIPAL_ EXTENSÃO VERTICAL_C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GR_LOGO PRINCIPAL_ EXTENSÃO VERTICAL_C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6407A"/>
    <w:multiLevelType w:val="hybridMultilevel"/>
    <w:tmpl w:val="D6147162"/>
    <w:lvl w:ilvl="0" w:tplc="97867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4A"/>
    <w:rsid w:val="003C1269"/>
    <w:rsid w:val="0059384C"/>
    <w:rsid w:val="006E6FD7"/>
    <w:rsid w:val="007641D4"/>
    <w:rsid w:val="007B451A"/>
    <w:rsid w:val="007D75BA"/>
    <w:rsid w:val="008F669D"/>
    <w:rsid w:val="009F5CDC"/>
    <w:rsid w:val="00AA094A"/>
    <w:rsid w:val="00AD4AD9"/>
    <w:rsid w:val="00CC61AA"/>
    <w:rsid w:val="00CE7FDC"/>
    <w:rsid w:val="00E12579"/>
    <w:rsid w:val="00F5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8AC37-A256-4AB0-B159-95CC759A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semiHidden/>
    <w:unhideWhenUsed/>
    <w:rsid w:val="00AA0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AA094A"/>
  </w:style>
  <w:style w:type="paragraph" w:styleId="PargrafodaLista">
    <w:name w:val="List Paragraph"/>
    <w:basedOn w:val="Normal"/>
    <w:uiPriority w:val="34"/>
    <w:qFormat/>
    <w:rsid w:val="00AD4AD9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764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64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6165">
          <w:marLeft w:val="0"/>
          <w:marRight w:val="425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4630">
          <w:marLeft w:val="0"/>
          <w:marRight w:val="425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1022">
          <w:marLeft w:val="0"/>
          <w:marRight w:val="425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2030">
          <w:marLeft w:val="0"/>
          <w:marRight w:val="425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921">
          <w:marLeft w:val="0"/>
          <w:marRight w:val="425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410">
          <w:marLeft w:val="0"/>
          <w:marRight w:val="425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3045">
          <w:marLeft w:val="0"/>
          <w:marRight w:val="425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6180">
          <w:marLeft w:val="0"/>
          <w:marRight w:val="425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2302">
          <w:marLeft w:val="0"/>
          <w:marRight w:val="425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Rigor Rodrigues</dc:creator>
  <cp:keywords/>
  <dc:description/>
  <cp:lastModifiedBy>Teresa Rodrigues</cp:lastModifiedBy>
  <cp:revision>3</cp:revision>
  <cp:lastPrinted>2024-06-05T13:10:00Z</cp:lastPrinted>
  <dcterms:created xsi:type="dcterms:W3CDTF">2024-11-13T18:39:00Z</dcterms:created>
  <dcterms:modified xsi:type="dcterms:W3CDTF">2024-11-14T09:42:00Z</dcterms:modified>
</cp:coreProperties>
</file>